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F1664" w14:textId="6C7EAD21" w:rsidR="00EB1698" w:rsidRPr="00EB1698" w:rsidRDefault="00EB1698" w:rsidP="00BE521D">
      <w:pPr>
        <w:jc w:val="center"/>
        <w:rPr>
          <w:b/>
        </w:rPr>
      </w:pPr>
      <w:bookmarkStart w:id="0" w:name="_GoBack"/>
      <w:bookmarkEnd w:id="0"/>
      <w:r w:rsidRPr="00EB1698">
        <w:rPr>
          <w:b/>
        </w:rPr>
        <w:t>Novinky na rok 2018 v oblasti zateplování bytových domů v IROP</w:t>
      </w:r>
    </w:p>
    <w:p w14:paraId="351AC016" w14:textId="77777777" w:rsidR="00EB1698" w:rsidRDefault="00EB1698" w:rsidP="00DD687D">
      <w:pPr>
        <w:jc w:val="both"/>
      </w:pPr>
    </w:p>
    <w:p w14:paraId="5E47E9F3" w14:textId="412D7872" w:rsidR="00EE0E5D" w:rsidRPr="00EB1698" w:rsidRDefault="00503EAD" w:rsidP="00DD687D">
      <w:pPr>
        <w:jc w:val="both"/>
        <w:rPr>
          <w:b/>
        </w:rPr>
      </w:pPr>
      <w:r w:rsidRPr="00EB1698">
        <w:rPr>
          <w:b/>
        </w:rPr>
        <w:t>Podpora pro energeticky úsporná opatření v bytových domech pokračuje</w:t>
      </w:r>
      <w:r w:rsidR="007D0829" w:rsidRPr="00EB1698">
        <w:rPr>
          <w:b/>
        </w:rPr>
        <w:t xml:space="preserve"> v IROP</w:t>
      </w:r>
      <w:r w:rsidRPr="00EB1698">
        <w:rPr>
          <w:b/>
        </w:rPr>
        <w:t xml:space="preserve"> i v roce 2018. Řídicí orgán IROP vyhlásil 12. 1. 2018</w:t>
      </w:r>
      <w:r w:rsidR="0022232A" w:rsidRPr="00EB1698">
        <w:rPr>
          <w:b/>
        </w:rPr>
        <w:t xml:space="preserve"> pro vlastníky bytových domů</w:t>
      </w:r>
      <w:r w:rsidRPr="00EB1698">
        <w:rPr>
          <w:b/>
        </w:rPr>
        <w:t xml:space="preserve"> </w:t>
      </w:r>
      <w:r w:rsidR="0022232A" w:rsidRPr="00EB1698">
        <w:rPr>
          <w:b/>
        </w:rPr>
        <w:t>78.</w:t>
      </w:r>
      <w:r w:rsidRPr="00EB1698">
        <w:rPr>
          <w:b/>
        </w:rPr>
        <w:t xml:space="preserve"> výzvu</w:t>
      </w:r>
      <w:r w:rsidR="0022232A" w:rsidRPr="00EB1698">
        <w:rPr>
          <w:b/>
        </w:rPr>
        <w:t xml:space="preserve"> </w:t>
      </w:r>
      <w:r w:rsidR="0022232A" w:rsidRPr="006C18C0">
        <w:rPr>
          <w:b/>
        </w:rPr>
        <w:t>Energetické úspory v bytových domech III</w:t>
      </w:r>
      <w:r w:rsidRPr="00EB1698">
        <w:rPr>
          <w:b/>
        </w:rPr>
        <w:t xml:space="preserve">. Žádosti o podporu </w:t>
      </w:r>
      <w:r w:rsidR="00A61196">
        <w:rPr>
          <w:b/>
        </w:rPr>
        <w:t>je</w:t>
      </w:r>
      <w:r w:rsidR="00A61196" w:rsidRPr="00EB1698">
        <w:rPr>
          <w:b/>
        </w:rPr>
        <w:t xml:space="preserve"> </w:t>
      </w:r>
      <w:r w:rsidRPr="00EB1698">
        <w:rPr>
          <w:b/>
        </w:rPr>
        <w:t xml:space="preserve">možné podávat od 2. 2. 2018. Alokace výzvy je 3,5 mld. Kč z Evropského fondu pro regionální rozvoj </w:t>
      </w:r>
      <w:r w:rsidR="0022232A" w:rsidRPr="00EB1698">
        <w:rPr>
          <w:b/>
        </w:rPr>
        <w:t xml:space="preserve">(EFRR) </w:t>
      </w:r>
      <w:r w:rsidRPr="00EB1698">
        <w:rPr>
          <w:b/>
        </w:rPr>
        <w:t xml:space="preserve">a příjem žádostí potrvá </w:t>
      </w:r>
      <w:r w:rsidR="0022232A" w:rsidRPr="00EB1698">
        <w:rPr>
          <w:b/>
        </w:rPr>
        <w:t>do vyčerpání alokace výzvy, maximálně do 29. 11. 2019.</w:t>
      </w:r>
    </w:p>
    <w:p w14:paraId="07E706F1" w14:textId="085A7B47" w:rsidR="0022232A" w:rsidRDefault="0022232A" w:rsidP="00DD687D">
      <w:pPr>
        <w:jc w:val="both"/>
      </w:pPr>
      <w:r>
        <w:t>Nová</w:t>
      </w:r>
      <w:r w:rsidR="00130AE7">
        <w:t xml:space="preserve"> 78.</w:t>
      </w:r>
      <w:r>
        <w:t xml:space="preserve"> výzva</w:t>
      </w:r>
      <w:r w:rsidR="00CB2022">
        <w:t xml:space="preserve"> plynule</w:t>
      </w:r>
      <w:r>
        <w:t xml:space="preserve"> navazuje na 37. výzvu</w:t>
      </w:r>
      <w:r w:rsidR="007D0829">
        <w:t xml:space="preserve"> </w:t>
      </w:r>
      <w:r w:rsidR="007D0829" w:rsidRPr="006C18C0">
        <w:t>Energetické úspory v bytových domech II</w:t>
      </w:r>
      <w:r w:rsidR="007D0829" w:rsidRPr="00A61196">
        <w:t>.</w:t>
      </w:r>
      <w:r w:rsidRPr="00A61196">
        <w:t>,</w:t>
      </w:r>
      <w:r>
        <w:t xml:space="preserve"> ve které byl příjem žádostí ukončen 12. 1. 2018</w:t>
      </w:r>
      <w:r w:rsidR="008164B4">
        <w:t>.</w:t>
      </w:r>
      <w:r>
        <w:t xml:space="preserve"> Od listopadu loňského roku byl v této výzvě patrný razantní nárůst počtu podávaných žádostí o podporu i nárůst objemnějších projektů. Celkem bylo v 37. výzvě předloženo 132</w:t>
      </w:r>
      <w:r w:rsidR="00FD1147">
        <w:t>5</w:t>
      </w:r>
      <w:r>
        <w:t xml:space="preserve"> žádostí o podporu v celkové</w:t>
      </w:r>
      <w:r w:rsidR="007D0829">
        <w:t>m</w:t>
      </w:r>
      <w:r>
        <w:t xml:space="preserve"> úhrnu 2,707 mld. Kč z EFRR a nyní probíhá vyhodnocování podaných projektů. </w:t>
      </w:r>
      <w:r w:rsidR="00130AE7">
        <w:t>Podpora v této výzvě oslovila vlastníky bytových domů a společenství vlastníků jednotek v</w:t>
      </w:r>
      <w:r w:rsidR="00A703D8">
        <w:t>e</w:t>
      </w:r>
      <w:r w:rsidR="00130AE7">
        <w:t> 423 městech a obcích České republiky. O</w:t>
      </w:r>
      <w:r w:rsidR="00DD687D">
        <w:t> </w:t>
      </w:r>
      <w:r w:rsidR="00130AE7">
        <w:t xml:space="preserve">největší objem podpory zažádala společenství vlastníků jednotek (1,53 mld. Kč) a obce (865 mil. Kč). Nejaktivnější </w:t>
      </w:r>
      <w:r w:rsidR="00EB1698">
        <w:t xml:space="preserve">byli </w:t>
      </w:r>
      <w:r w:rsidR="00130AE7">
        <w:t>žadatelé v Moravskoslezském kraji (téměř 17,5 % předložených žádostí)</w:t>
      </w:r>
      <w:r w:rsidR="00714657">
        <w:t>, dále ve Středočeském, Jihomoravském a Zlínském kraji (každý kraj měl téměř 10% zastoupení).</w:t>
      </w:r>
    </w:p>
    <w:p w14:paraId="45020219" w14:textId="77777777" w:rsidR="00714657" w:rsidRDefault="00714657" w:rsidP="00DD687D">
      <w:pPr>
        <w:jc w:val="both"/>
      </w:pPr>
      <w:r>
        <w:t>Po vyjednaném snížení nároků na zdroje tepla byly od června loňského roku nabídnuty také příznivější podmínky pro čerpání podpory na plynové kondenzační kotle nebo tepelná čerpadla. Z předložených projektů je patrné, že i tato změna se setkala se zájmem.</w:t>
      </w:r>
    </w:p>
    <w:p w14:paraId="79175BE9" w14:textId="766B5365" w:rsidR="00DD687D" w:rsidRDefault="000E4A0E" w:rsidP="00DD687D">
      <w:pPr>
        <w:jc w:val="both"/>
      </w:pPr>
      <w:r>
        <w:t xml:space="preserve">Počet proplacených projektů překročil na konci loňského roku první stovku a na proplacení </w:t>
      </w:r>
      <w:r w:rsidR="00FD1147">
        <w:t xml:space="preserve">v lednu </w:t>
      </w:r>
      <w:r>
        <w:t>ček</w:t>
      </w:r>
      <w:r w:rsidR="00FD1147">
        <w:t>alo</w:t>
      </w:r>
      <w:r>
        <w:t xml:space="preserve"> dalších 160 projektů, u kterých byla fyzicky ukončena realizace. Mezi největší vyplacené žádosti patří např. projekty měst Frýdku-Místku, Hronova nebo Tábora. Z ostatních proplacených projektů lze jmenovat např. zateplení </w:t>
      </w:r>
      <w:r w:rsidR="00AF3DE5">
        <w:t xml:space="preserve">a výměny oken a vstupních dveří v </w:t>
      </w:r>
      <w:r>
        <w:t>bytové</w:t>
      </w:r>
      <w:r w:rsidR="00AF3DE5">
        <w:t>m</w:t>
      </w:r>
      <w:r>
        <w:t xml:space="preserve"> dom</w:t>
      </w:r>
      <w:r w:rsidR="00AF3DE5">
        <w:t>ě</w:t>
      </w:r>
      <w:r>
        <w:t xml:space="preserve"> o 48 bytových jednotkách v Otrokovicích, nebo</w:t>
      </w:r>
      <w:r w:rsidR="00AF3DE5">
        <w:t xml:space="preserve"> zateplení dvou bytových domů o 22 bytech v Kralovicích na Plzeňsku. </w:t>
      </w:r>
    </w:p>
    <w:p w14:paraId="102DE9E4" w14:textId="4302E335" w:rsidR="00AF3DE5" w:rsidRDefault="00DA26D8" w:rsidP="00DD687D">
      <w:pPr>
        <w:jc w:val="both"/>
      </w:pPr>
      <w:r>
        <w:t xml:space="preserve">78. výzva přináší nové možnosti pro podporu bytových družstev, která sice nejsou výhradním vlastníkem bytového domu, ale v souladu s národní legislativou vykonávají funkci správce bytového domu do doby založení společenství vlastníků jednotek. Aktuálně se pro tato družstva podařilo vyjednat možnost získání podpory za celý bytový dům. </w:t>
      </w:r>
      <w:r w:rsidR="00735E1B">
        <w:t>Pro společenství vlastníků jednotek a fyzické osoby přibyla nově možnost v určitých případech podat žádost o podporu mimo režim veřejné podpory a de minimis. U projektů mimo režim veřejné po</w:t>
      </w:r>
      <w:r w:rsidR="00714657">
        <w:t>dpory podle blokových výjimek (dle N</w:t>
      </w:r>
      <w:r w:rsidR="00735E1B">
        <w:t>ařízení</w:t>
      </w:r>
      <w:r w:rsidR="00714657">
        <w:t xml:space="preserve"> Komise</w:t>
      </w:r>
      <w:r w:rsidR="00735E1B">
        <w:t xml:space="preserve"> 651/2014) došlo také k rozšíření způsobilých výdajů. </w:t>
      </w:r>
      <w:r w:rsidR="00DD687D">
        <w:t xml:space="preserve">Byl také zredukován počet povinně naplňovaných indikátorů – nově hodnoty indikátorů </w:t>
      </w:r>
      <w:r w:rsidR="00A61196">
        <w:t>„</w:t>
      </w:r>
      <w:r w:rsidR="00DD687D" w:rsidRPr="006C18C0">
        <w:t>Množství emisí primárních částic a prekurzorů sekundárních částic v rámci podpořených projektů</w:t>
      </w:r>
      <w:r w:rsidR="00A61196">
        <w:t>“</w:t>
      </w:r>
      <w:r w:rsidR="00DD687D" w:rsidRPr="00DD687D">
        <w:rPr>
          <w:i/>
        </w:rPr>
        <w:t xml:space="preserve"> </w:t>
      </w:r>
      <w:r w:rsidR="00DD687D">
        <w:t xml:space="preserve">a </w:t>
      </w:r>
      <w:r w:rsidR="00A61196">
        <w:t>„</w:t>
      </w:r>
      <w:r w:rsidR="00DD687D" w:rsidRPr="006C18C0">
        <w:t>Výroba tepla z obnovitelných zdrojů</w:t>
      </w:r>
      <w:r w:rsidR="00A61196">
        <w:t>“</w:t>
      </w:r>
      <w:r w:rsidR="00DD687D">
        <w:t xml:space="preserve"> budou vyhodnocovány pouze na úrovni Řídicího orgánu za celou výzvu a nebudou uváděny v Rozhodnutí o poskytnutí dotace.</w:t>
      </w:r>
      <w:r w:rsidR="00AF3DE5">
        <w:t xml:space="preserve"> </w:t>
      </w:r>
    </w:p>
    <w:p w14:paraId="4C728733" w14:textId="77777777" w:rsidR="00130AE7" w:rsidRDefault="00AF3DE5" w:rsidP="00DD687D">
      <w:pPr>
        <w:jc w:val="both"/>
      </w:pPr>
      <w:r>
        <w:t xml:space="preserve">Stejně jako v předcházejících výzvách platí snížené technické nároky pro bytové domy, které jsou kulturní památkou nebo se nacházejí v památkové rezervaci nebo v památkové zóně. Pro tyto domy může být vzhledem k památkové ochraně obtížné provést kompletní úpravy s cílem uspořit požadované množství celkové dodané energie, a proto v těchto případech pro získání </w:t>
      </w:r>
      <w:proofErr w:type="gramStart"/>
      <w:r>
        <w:t>30%</w:t>
      </w:r>
      <w:proofErr w:type="gramEnd"/>
      <w:r>
        <w:t xml:space="preserve"> podpory postačí zateplit některé konstrukce pouze na úrovni normových požadavků. Obdobně pro získání podpory pro změnu zdroje tepla platí mírnější podmínky na technický stav bytového domu. Tuto možnost zatím využily vlastníci památkově chráněných bytových domů v centru </w:t>
      </w:r>
      <w:r w:rsidR="00714657">
        <w:t>Plzně nebo Kutné Hory.</w:t>
      </w:r>
    </w:p>
    <w:p w14:paraId="60B99248" w14:textId="0C45B239" w:rsidR="00EB1698" w:rsidRDefault="00EB1698" w:rsidP="00EB1698">
      <w:pPr>
        <w:jc w:val="both"/>
      </w:pPr>
      <w:r>
        <w:t xml:space="preserve">Podrobnější informace o </w:t>
      </w:r>
      <w:r w:rsidRPr="00EB1698">
        <w:t>78. výzv</w:t>
      </w:r>
      <w:r>
        <w:t>ě</w:t>
      </w:r>
      <w:r w:rsidRPr="00EB1698">
        <w:t xml:space="preserve"> Energetické úspory v bytových domech III.</w:t>
      </w:r>
      <w:r>
        <w:t xml:space="preserve"> </w:t>
      </w:r>
      <w:r w:rsidR="00A57FBE">
        <w:t>n</w:t>
      </w:r>
      <w:r>
        <w:t xml:space="preserve">aleznete </w:t>
      </w:r>
      <w:r w:rsidRPr="00214B41">
        <w:t xml:space="preserve">na </w:t>
      </w:r>
      <w:hyperlink r:id="rId4" w:history="1">
        <w:r w:rsidRPr="00686D95">
          <w:rPr>
            <w:rStyle w:val="Hypertextovodkaz"/>
          </w:rPr>
          <w:t>webu IROP</w:t>
        </w:r>
      </w:hyperlink>
      <w:r w:rsidR="00214B41">
        <w:t xml:space="preserve">. </w:t>
      </w:r>
      <w:r>
        <w:t xml:space="preserve"> </w:t>
      </w:r>
    </w:p>
    <w:p w14:paraId="4A2DBD6E" w14:textId="3C0B0A86" w:rsidR="00EB1698" w:rsidRDefault="00EB1698" w:rsidP="00EB1698">
      <w:pPr>
        <w:jc w:val="both"/>
      </w:pPr>
      <w:r>
        <w:lastRenderedPageBreak/>
        <w:t>Projektové záměry</w:t>
      </w:r>
      <w:r w:rsidR="00A703D8">
        <w:t xml:space="preserve"> lze </w:t>
      </w:r>
      <w:r w:rsidR="00A61196">
        <w:t xml:space="preserve">konzultovat </w:t>
      </w:r>
      <w:r w:rsidR="00A703D8" w:rsidRPr="00214B41">
        <w:t xml:space="preserve">na </w:t>
      </w:r>
      <w:hyperlink r:id="rId5" w:history="1">
        <w:r w:rsidR="00A703D8" w:rsidRPr="00686D95">
          <w:rPr>
            <w:rStyle w:val="Hypertextovodkaz"/>
          </w:rPr>
          <w:t>regionálních pracovištích Centra pro regionální rozvoj České republiky</w:t>
        </w:r>
      </w:hyperlink>
      <w:r w:rsidR="00A703D8" w:rsidRPr="00214B41">
        <w:t>, které je zprostředkujícím subjektem IROP.</w:t>
      </w:r>
      <w:r w:rsidR="00A703D8">
        <w:t xml:space="preserve"> </w:t>
      </w:r>
    </w:p>
    <w:p w14:paraId="10D01895" w14:textId="7D3C12E8" w:rsidR="005C40F5" w:rsidRDefault="00EF384A" w:rsidP="008C2D9E">
      <w:pPr>
        <w:rPr>
          <w:rStyle w:val="Hypertextovodkaz"/>
        </w:rPr>
      </w:pPr>
      <w:r>
        <w:rPr>
          <w:rStyle w:val="Hypertextovodkaz"/>
        </w:rPr>
        <w:pict w14:anchorId="24DA9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pt;height:74.4pt">
            <v:imagedata r:id="rId6" o:title="IROP_CZ_RO_B_B-RGB"/>
          </v:shape>
        </w:pict>
      </w:r>
    </w:p>
    <w:p w14:paraId="70ADD24C" w14:textId="696D8777" w:rsidR="00AC6B5D" w:rsidRDefault="00AC6B5D" w:rsidP="008C2D9E">
      <w:r>
        <w:rPr>
          <w:noProof/>
          <w:lang w:eastAsia="cs-CZ"/>
        </w:rPr>
        <w:drawing>
          <wp:inline distT="0" distB="0" distL="0" distR="0" wp14:anchorId="61463700" wp14:editId="24762D05">
            <wp:extent cx="3039223" cy="2107194"/>
            <wp:effectExtent l="0" t="0" r="8890" b="762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čov_Opletalov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056928" cy="2119470"/>
                    </a:xfrm>
                    <a:prstGeom prst="rect">
                      <a:avLst/>
                    </a:prstGeom>
                  </pic:spPr>
                </pic:pic>
              </a:graphicData>
            </a:graphic>
          </wp:inline>
        </w:drawing>
      </w:r>
    </w:p>
    <w:p w14:paraId="29F2D50C" w14:textId="11DEB3B1" w:rsidR="00AC6B5D" w:rsidRDefault="00AC6B5D" w:rsidP="00AC6B5D">
      <w:r w:rsidRPr="00AC6B5D">
        <w:t xml:space="preserve">BD </w:t>
      </w:r>
      <w:proofErr w:type="gramStart"/>
      <w:r w:rsidRPr="00AC6B5D">
        <w:t>Uničov - Snížení</w:t>
      </w:r>
      <w:proofErr w:type="gramEnd"/>
      <w:r w:rsidRPr="00AC6B5D">
        <w:t xml:space="preserve"> energetické náročnosti</w:t>
      </w:r>
      <w:r>
        <w:t xml:space="preserve">, dotace </w:t>
      </w:r>
      <w:r w:rsidRPr="00AC6B5D">
        <w:t>1</w:t>
      </w:r>
      <w:r>
        <w:t> </w:t>
      </w:r>
      <w:r w:rsidRPr="00AC6B5D">
        <w:t>301</w:t>
      </w:r>
      <w:r>
        <w:t> </w:t>
      </w:r>
      <w:r w:rsidRPr="00AC6B5D">
        <w:t>329</w:t>
      </w:r>
      <w:r>
        <w:t>,- Kč</w:t>
      </w:r>
    </w:p>
    <w:p w14:paraId="27A05768" w14:textId="11043F1A" w:rsidR="00AC6B5D" w:rsidRDefault="00AC6B5D" w:rsidP="00AC6B5D">
      <w:r>
        <w:rPr>
          <w:noProof/>
          <w:lang w:eastAsia="cs-CZ"/>
        </w:rPr>
        <w:drawing>
          <wp:inline distT="0" distB="0" distL="0" distR="0" wp14:anchorId="6AF594B8" wp14:editId="0FC825F1">
            <wp:extent cx="3061444" cy="2040962"/>
            <wp:effectExtent l="0" t="0" r="5715"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ní Slavkov_Poštovní.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9855" cy="2066570"/>
                    </a:xfrm>
                    <a:prstGeom prst="rect">
                      <a:avLst/>
                    </a:prstGeom>
                  </pic:spPr>
                </pic:pic>
              </a:graphicData>
            </a:graphic>
          </wp:inline>
        </w:drawing>
      </w:r>
    </w:p>
    <w:p w14:paraId="51AABD7A" w14:textId="7F3108DE" w:rsidR="00AC6B5D" w:rsidRDefault="00AC6B5D" w:rsidP="00AC6B5D">
      <w:r w:rsidRPr="00AC6B5D">
        <w:t xml:space="preserve">Zateplení </w:t>
      </w:r>
      <w:proofErr w:type="gramStart"/>
      <w:r w:rsidRPr="00AC6B5D">
        <w:t>BD - Poštovní</w:t>
      </w:r>
      <w:proofErr w:type="gramEnd"/>
      <w:r w:rsidRPr="00AC6B5D">
        <w:t xml:space="preserve"> 667, Horní Slavkov</w:t>
      </w:r>
      <w:r>
        <w:t xml:space="preserve">, dotace </w:t>
      </w:r>
      <w:r w:rsidRPr="00AC6B5D">
        <w:t>658</w:t>
      </w:r>
      <w:r>
        <w:t> 819,- Kč</w:t>
      </w:r>
    </w:p>
    <w:sectPr w:rsidR="00AC6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43C"/>
    <w:rsid w:val="000E4A0E"/>
    <w:rsid w:val="00130AE7"/>
    <w:rsid w:val="00214B41"/>
    <w:rsid w:val="0022232A"/>
    <w:rsid w:val="002D40B6"/>
    <w:rsid w:val="0034643C"/>
    <w:rsid w:val="00503EAD"/>
    <w:rsid w:val="005C40F5"/>
    <w:rsid w:val="00686D95"/>
    <w:rsid w:val="006A5206"/>
    <w:rsid w:val="006C18C0"/>
    <w:rsid w:val="00714657"/>
    <w:rsid w:val="00735E1B"/>
    <w:rsid w:val="007D0829"/>
    <w:rsid w:val="008164B4"/>
    <w:rsid w:val="00861C97"/>
    <w:rsid w:val="008C2D9E"/>
    <w:rsid w:val="00A33450"/>
    <w:rsid w:val="00A57FBE"/>
    <w:rsid w:val="00A61196"/>
    <w:rsid w:val="00A703D8"/>
    <w:rsid w:val="00AC6B5D"/>
    <w:rsid w:val="00AE6B2C"/>
    <w:rsid w:val="00AF3DE5"/>
    <w:rsid w:val="00BD197F"/>
    <w:rsid w:val="00BE521D"/>
    <w:rsid w:val="00CB2022"/>
    <w:rsid w:val="00D13AB2"/>
    <w:rsid w:val="00D213E9"/>
    <w:rsid w:val="00DA26D8"/>
    <w:rsid w:val="00DD687D"/>
    <w:rsid w:val="00E22F1F"/>
    <w:rsid w:val="00EB1698"/>
    <w:rsid w:val="00EE0E5D"/>
    <w:rsid w:val="00EF384A"/>
    <w:rsid w:val="00FB5297"/>
    <w:rsid w:val="00FD114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E5537"/>
  <w15:chartTrackingRefBased/>
  <w15:docId w15:val="{86501355-2998-472C-BE3E-356E7A4A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B169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B1698"/>
    <w:rPr>
      <w:rFonts w:ascii="Segoe UI" w:hAnsi="Segoe UI" w:cs="Segoe UI"/>
      <w:sz w:val="18"/>
      <w:szCs w:val="18"/>
    </w:rPr>
  </w:style>
  <w:style w:type="character" w:styleId="Hypertextovodkaz">
    <w:name w:val="Hyperlink"/>
    <w:basedOn w:val="Standardnpsmoodstavce"/>
    <w:uiPriority w:val="99"/>
    <w:unhideWhenUsed/>
    <w:rsid w:val="00EB1698"/>
    <w:rPr>
      <w:color w:val="0563C1" w:themeColor="hyperlink"/>
      <w:u w:val="single"/>
    </w:rPr>
  </w:style>
  <w:style w:type="character" w:styleId="Odkaznakoment">
    <w:name w:val="annotation reference"/>
    <w:basedOn w:val="Standardnpsmoodstavce"/>
    <w:uiPriority w:val="99"/>
    <w:semiHidden/>
    <w:unhideWhenUsed/>
    <w:rsid w:val="00A33450"/>
    <w:rPr>
      <w:sz w:val="16"/>
      <w:szCs w:val="16"/>
    </w:rPr>
  </w:style>
  <w:style w:type="paragraph" w:styleId="Textkomente">
    <w:name w:val="annotation text"/>
    <w:basedOn w:val="Normln"/>
    <w:link w:val="TextkomenteChar"/>
    <w:uiPriority w:val="99"/>
    <w:semiHidden/>
    <w:unhideWhenUsed/>
    <w:rsid w:val="00A33450"/>
    <w:pPr>
      <w:spacing w:line="240" w:lineRule="auto"/>
    </w:pPr>
    <w:rPr>
      <w:sz w:val="20"/>
      <w:szCs w:val="20"/>
    </w:rPr>
  </w:style>
  <w:style w:type="character" w:customStyle="1" w:styleId="TextkomenteChar">
    <w:name w:val="Text komentáře Char"/>
    <w:basedOn w:val="Standardnpsmoodstavce"/>
    <w:link w:val="Textkomente"/>
    <w:uiPriority w:val="99"/>
    <w:semiHidden/>
    <w:rsid w:val="00A33450"/>
    <w:rPr>
      <w:sz w:val="20"/>
      <w:szCs w:val="20"/>
    </w:rPr>
  </w:style>
  <w:style w:type="paragraph" w:styleId="Pedmtkomente">
    <w:name w:val="annotation subject"/>
    <w:basedOn w:val="Textkomente"/>
    <w:next w:val="Textkomente"/>
    <w:link w:val="PedmtkomenteChar"/>
    <w:uiPriority w:val="99"/>
    <w:semiHidden/>
    <w:unhideWhenUsed/>
    <w:rsid w:val="00A33450"/>
    <w:rPr>
      <w:b/>
      <w:bCs/>
    </w:rPr>
  </w:style>
  <w:style w:type="character" w:customStyle="1" w:styleId="PedmtkomenteChar">
    <w:name w:val="Předmět komentáře Char"/>
    <w:basedOn w:val="TextkomenteChar"/>
    <w:link w:val="Pedmtkomente"/>
    <w:uiPriority w:val="99"/>
    <w:semiHidden/>
    <w:rsid w:val="00A3345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crr.cz/cs/kontakty/kontaktni-osoby-k-vyzvam/78-vyzva/" TargetMode="External"/><Relationship Id="rId10" Type="http://schemas.openxmlformats.org/officeDocument/2006/relationships/theme" Target="theme/theme1.xml"/><Relationship Id="rId4" Type="http://schemas.openxmlformats.org/officeDocument/2006/relationships/hyperlink" Target="https://www.strukturalni-fondy.cz/cs/Microsites/IROP/Vyzvy/Vyzva-c-78-Energeticke-uspory-v-bytovych-domech-III)" TargetMode="Externa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620</Words>
  <Characters>3661</Characters>
  <Application>Microsoft Office Word</Application>
  <DocSecurity>0</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4273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dc:creator>
  <cp:keywords/>
  <dc:description/>
  <cp:lastModifiedBy>HP</cp:lastModifiedBy>
  <cp:revision>2</cp:revision>
  <dcterms:created xsi:type="dcterms:W3CDTF">2018-03-05T14:36:00Z</dcterms:created>
  <dcterms:modified xsi:type="dcterms:W3CDTF">2018-03-05T14:36:00Z</dcterms:modified>
</cp:coreProperties>
</file>